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CBF6B9" w14:textId="77777777" w:rsidR="002A06A0" w:rsidRPr="008D25CB" w:rsidRDefault="002A06A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2A06A0" w:rsidRPr="008D25CB" w14:paraId="43FEC673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48C4E129" w14:textId="77777777" w:rsidR="002A06A0" w:rsidRPr="008D25CB" w:rsidRDefault="002A06A0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2A06A0" w:rsidRPr="008D25CB" w14:paraId="10669345" w14:textId="77777777">
        <w:trPr>
          <w:trHeight w:val="290"/>
        </w:trPr>
        <w:tc>
          <w:tcPr>
            <w:tcW w:w="5167" w:type="dxa"/>
          </w:tcPr>
          <w:p w14:paraId="200FFA7A" w14:textId="77777777" w:rsidR="002A06A0" w:rsidRPr="008D25CB" w:rsidRDefault="00E568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D25CB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08E5DA" w14:textId="77777777" w:rsidR="002A06A0" w:rsidRPr="008D25CB" w:rsidRDefault="00E56800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8D25CB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 of Advances in Mathematics and Computer Science</w:t>
              </w:r>
            </w:hyperlink>
            <w:r w:rsidRPr="008D25CB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2A06A0" w:rsidRPr="008D25CB" w14:paraId="617F73B1" w14:textId="77777777">
        <w:trPr>
          <w:trHeight w:val="290"/>
        </w:trPr>
        <w:tc>
          <w:tcPr>
            <w:tcW w:w="5167" w:type="dxa"/>
          </w:tcPr>
          <w:p w14:paraId="4A2C84F3" w14:textId="77777777" w:rsidR="002A06A0" w:rsidRPr="008D25CB" w:rsidRDefault="00E568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D25CB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F531AD" w14:textId="77777777" w:rsidR="002A06A0" w:rsidRPr="008D25CB" w:rsidRDefault="00E568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D25CB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Ms_JAMCS_151836</w:t>
            </w:r>
          </w:p>
        </w:tc>
      </w:tr>
      <w:tr w:rsidR="002A06A0" w:rsidRPr="008D25CB" w14:paraId="62D2D79B" w14:textId="77777777">
        <w:trPr>
          <w:trHeight w:val="650"/>
        </w:trPr>
        <w:tc>
          <w:tcPr>
            <w:tcW w:w="5167" w:type="dxa"/>
          </w:tcPr>
          <w:p w14:paraId="71862FD4" w14:textId="77777777" w:rsidR="002A06A0" w:rsidRPr="008D25CB" w:rsidRDefault="00E568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D25CB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E5D2C0" w14:textId="77777777" w:rsidR="002A06A0" w:rsidRPr="008D25CB" w:rsidRDefault="00E568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D25CB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A FINITE DIFFERENCE APPROACH FOR SOLVING THE TIME-FRACTIONAL KLEIN–GORDON EQUATION IN THE CAPUTO SENSE</w:t>
            </w:r>
          </w:p>
        </w:tc>
      </w:tr>
      <w:tr w:rsidR="002A06A0" w:rsidRPr="008D25CB" w14:paraId="0EB392E4" w14:textId="77777777">
        <w:trPr>
          <w:trHeight w:val="332"/>
        </w:trPr>
        <w:tc>
          <w:tcPr>
            <w:tcW w:w="5167" w:type="dxa"/>
          </w:tcPr>
          <w:p w14:paraId="4DA63691" w14:textId="77777777" w:rsidR="002A06A0" w:rsidRPr="008D25CB" w:rsidRDefault="00E568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D25CB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8829AB" w14:textId="77777777" w:rsidR="002A06A0" w:rsidRPr="008D25CB" w:rsidRDefault="002A06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14:paraId="1A16DB6B" w14:textId="77777777" w:rsidR="002A06A0" w:rsidRPr="008D25CB" w:rsidRDefault="002A06A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0" w:name="_nrxaxj6m28bj" w:colFirst="0" w:colLast="0"/>
      <w:bookmarkEnd w:id="0"/>
    </w:p>
    <w:p w14:paraId="79EC6040" w14:textId="77777777" w:rsidR="002A06A0" w:rsidRPr="008D25CB" w:rsidRDefault="002A06A0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2A06A0" w:rsidRPr="008D25CB" w14:paraId="313184DB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7C3562EB" w14:textId="77777777" w:rsidR="002A06A0" w:rsidRPr="008D25CB" w:rsidRDefault="00E568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8D25CB">
              <w:rPr>
                <w:rFonts w:ascii="Arial" w:eastAsia="Times New Roman" w:hAnsi="Arial" w:cs="Arial"/>
                <w:highlight w:val="yellow"/>
              </w:rPr>
              <w:t>PART  1:</w:t>
            </w:r>
            <w:r w:rsidRPr="008D25CB">
              <w:rPr>
                <w:rFonts w:ascii="Arial" w:eastAsia="Times New Roman" w:hAnsi="Arial" w:cs="Arial"/>
              </w:rPr>
              <w:t xml:space="preserve"> Comments</w:t>
            </w:r>
          </w:p>
          <w:p w14:paraId="2720D253" w14:textId="77777777" w:rsidR="002A06A0" w:rsidRPr="008D25CB" w:rsidRDefault="002A06A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A06A0" w:rsidRPr="008D25CB" w14:paraId="44E973CB" w14:textId="77777777">
        <w:tc>
          <w:tcPr>
            <w:tcW w:w="5351" w:type="dxa"/>
          </w:tcPr>
          <w:p w14:paraId="53C2A311" w14:textId="77777777" w:rsidR="002A06A0" w:rsidRPr="008D25CB" w:rsidRDefault="002A06A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6CF6B763" w14:textId="77777777" w:rsidR="002A06A0" w:rsidRPr="008D25CB" w:rsidRDefault="00E568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8D25CB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6442" w:type="dxa"/>
          </w:tcPr>
          <w:p w14:paraId="4FE6469A" w14:textId="77777777" w:rsidR="002A06A0" w:rsidRPr="008D25CB" w:rsidRDefault="00E5680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8D25CB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8D25CB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502F62AD" w14:textId="77777777" w:rsidR="002A06A0" w:rsidRPr="008D25CB" w:rsidRDefault="002A06A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2A06A0" w:rsidRPr="008D25CB" w14:paraId="11E85D16" w14:textId="77777777">
        <w:trPr>
          <w:trHeight w:val="1264"/>
        </w:trPr>
        <w:tc>
          <w:tcPr>
            <w:tcW w:w="5351" w:type="dxa"/>
          </w:tcPr>
          <w:p w14:paraId="4B0C10A2" w14:textId="77777777" w:rsidR="002A06A0" w:rsidRPr="008D25CB" w:rsidRDefault="00E568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D25CB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28E6E12F" w14:textId="77777777" w:rsidR="002A06A0" w:rsidRPr="008D25CB" w:rsidRDefault="002A06A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3C5982BE" w14:textId="77777777" w:rsidR="002A06A0" w:rsidRPr="008D25CB" w:rsidRDefault="00E568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5C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I believe this study is valuable for the scientific community because fractional calculus is a field of study that has recently attracted a lot of attention. It can yield better results in mathematical modeling.</w:t>
            </w:r>
          </w:p>
        </w:tc>
        <w:tc>
          <w:tcPr>
            <w:tcW w:w="6442" w:type="dxa"/>
          </w:tcPr>
          <w:p w14:paraId="50F9957A" w14:textId="77777777" w:rsidR="002A06A0" w:rsidRPr="008D25CB" w:rsidRDefault="00BE6A0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8D25CB">
              <w:rPr>
                <w:rFonts w:ascii="Arial" w:eastAsia="Times New Roman" w:hAnsi="Arial" w:cs="Arial"/>
                <w:b w:val="0"/>
                <w:bCs w:val="0"/>
              </w:rPr>
              <w:t>Thank you for the contribution and review.</w:t>
            </w:r>
          </w:p>
        </w:tc>
      </w:tr>
      <w:tr w:rsidR="002A06A0" w:rsidRPr="008D25CB" w14:paraId="0C6B9CB2" w14:textId="77777777">
        <w:trPr>
          <w:trHeight w:val="1262"/>
        </w:trPr>
        <w:tc>
          <w:tcPr>
            <w:tcW w:w="5351" w:type="dxa"/>
          </w:tcPr>
          <w:p w14:paraId="1A47E0D2" w14:textId="77777777" w:rsidR="002A06A0" w:rsidRPr="008D25CB" w:rsidRDefault="00E568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D25CB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5288AB3C" w14:textId="77777777" w:rsidR="002A06A0" w:rsidRPr="008D25CB" w:rsidRDefault="00E568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D25CB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14:paraId="601DF98E" w14:textId="77777777" w:rsidR="002A06A0" w:rsidRPr="008D25CB" w:rsidRDefault="002A06A0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78FBB7D7" w14:textId="77777777" w:rsidR="002A06A0" w:rsidRPr="008D25CB" w:rsidRDefault="00E568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D25CB">
              <w:rPr>
                <w:rFonts w:ascii="Arial" w:hAnsi="Arial" w:cs="Arial"/>
                <w:b/>
                <w:bCs/>
                <w:sz w:val="20"/>
                <w:szCs w:val="20"/>
              </w:rPr>
              <w:t>suitable</w:t>
            </w:r>
          </w:p>
        </w:tc>
        <w:tc>
          <w:tcPr>
            <w:tcW w:w="6442" w:type="dxa"/>
          </w:tcPr>
          <w:p w14:paraId="6BC8AB96" w14:textId="77777777" w:rsidR="002A06A0" w:rsidRPr="008D25CB" w:rsidRDefault="002A06A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2A06A0" w:rsidRPr="008D25CB" w14:paraId="0453F3B8" w14:textId="77777777">
        <w:trPr>
          <w:trHeight w:val="1262"/>
        </w:trPr>
        <w:tc>
          <w:tcPr>
            <w:tcW w:w="5351" w:type="dxa"/>
          </w:tcPr>
          <w:p w14:paraId="17670E3E" w14:textId="77777777" w:rsidR="002A06A0" w:rsidRPr="008D25CB" w:rsidRDefault="00E568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8D25CB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14:paraId="679A0F20" w14:textId="77777777" w:rsidR="002A06A0" w:rsidRPr="008D25CB" w:rsidRDefault="002A06A0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1C433E15" w14:textId="77777777" w:rsidR="002A06A0" w:rsidRPr="008D25CB" w:rsidRDefault="00E568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D25C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The article </w:t>
            </w:r>
            <w:proofErr w:type="gramStart"/>
            <w:r w:rsidRPr="008D25CB">
              <w:rPr>
                <w:rFonts w:ascii="Arial" w:hAnsi="Arial" w:cs="Arial"/>
                <w:b/>
                <w:bCs/>
                <w:sz w:val="20"/>
                <w:szCs w:val="20"/>
              </w:rPr>
              <w:t>abstract  is</w:t>
            </w:r>
            <w:proofErr w:type="gramEnd"/>
            <w:r w:rsidRPr="008D25C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sufficient.</w:t>
            </w:r>
          </w:p>
          <w:p w14:paraId="5AB15DFB" w14:textId="77777777" w:rsidR="002A06A0" w:rsidRPr="008D25CB" w:rsidRDefault="00E56800">
            <w:pPr>
              <w:tabs>
                <w:tab w:val="left" w:pos="1419"/>
              </w:tabs>
              <w:rPr>
                <w:rFonts w:ascii="Arial" w:hAnsi="Arial" w:cs="Arial"/>
                <w:sz w:val="20"/>
                <w:szCs w:val="20"/>
              </w:rPr>
            </w:pPr>
            <w:r w:rsidRPr="008D25CB">
              <w:rPr>
                <w:rFonts w:ascii="Arial" w:hAnsi="Arial" w:cs="Arial"/>
                <w:sz w:val="20"/>
                <w:szCs w:val="20"/>
              </w:rPr>
              <w:tab/>
            </w:r>
          </w:p>
        </w:tc>
        <w:tc>
          <w:tcPr>
            <w:tcW w:w="6442" w:type="dxa"/>
          </w:tcPr>
          <w:p w14:paraId="616F426B" w14:textId="77777777" w:rsidR="002A06A0" w:rsidRPr="008D25CB" w:rsidRDefault="002A06A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2A06A0" w:rsidRPr="008D25CB" w14:paraId="5B3AFF90" w14:textId="77777777">
        <w:trPr>
          <w:trHeight w:val="704"/>
        </w:trPr>
        <w:tc>
          <w:tcPr>
            <w:tcW w:w="5351" w:type="dxa"/>
          </w:tcPr>
          <w:p w14:paraId="23B97C17" w14:textId="77777777" w:rsidR="002A06A0" w:rsidRPr="008D25CB" w:rsidRDefault="00E56800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8D25CB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1DDA3235" w14:textId="77777777" w:rsidR="002A06A0" w:rsidRPr="008D25CB" w:rsidRDefault="00E568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5CB">
              <w:rPr>
                <w:rFonts w:ascii="Arial" w:hAnsi="Arial" w:cs="Arial"/>
                <w:color w:val="000000"/>
                <w:sz w:val="20"/>
                <w:szCs w:val="20"/>
              </w:rPr>
              <w:t>correct</w:t>
            </w:r>
          </w:p>
        </w:tc>
        <w:tc>
          <w:tcPr>
            <w:tcW w:w="6442" w:type="dxa"/>
          </w:tcPr>
          <w:p w14:paraId="56C4E967" w14:textId="77777777" w:rsidR="002A06A0" w:rsidRPr="008D25CB" w:rsidRDefault="002A06A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2A06A0" w:rsidRPr="008D25CB" w14:paraId="22BE9BA5" w14:textId="77777777">
        <w:trPr>
          <w:trHeight w:val="703"/>
        </w:trPr>
        <w:tc>
          <w:tcPr>
            <w:tcW w:w="5351" w:type="dxa"/>
          </w:tcPr>
          <w:p w14:paraId="016B2DC7" w14:textId="77777777" w:rsidR="002A06A0" w:rsidRPr="008D25CB" w:rsidRDefault="00E568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D25CB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07C7E571" w14:textId="77777777" w:rsidR="002A06A0" w:rsidRPr="008D25CB" w:rsidRDefault="00E568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5CB">
              <w:rPr>
                <w:rFonts w:ascii="Arial" w:hAnsi="Arial" w:cs="Arial"/>
                <w:color w:val="000000"/>
                <w:sz w:val="20"/>
                <w:szCs w:val="20"/>
              </w:rPr>
              <w:t>The resources are insufficient and outdated. I am including suggestions for additional resources in the evaluation form.</w:t>
            </w:r>
          </w:p>
          <w:p w14:paraId="1AB9D1BB" w14:textId="77777777" w:rsidR="002A06A0" w:rsidRPr="008D25CB" w:rsidRDefault="00E56800">
            <w:pPr>
              <w:tabs>
                <w:tab w:val="left" w:pos="1118"/>
              </w:tabs>
              <w:rPr>
                <w:rFonts w:ascii="Arial" w:hAnsi="Arial" w:cs="Arial"/>
              </w:rPr>
            </w:pPr>
            <w:r w:rsidRPr="008D25CB">
              <w:rPr>
                <w:rFonts w:ascii="Arial" w:hAnsi="Arial" w:cs="Arial"/>
              </w:rPr>
              <w:tab/>
            </w:r>
          </w:p>
        </w:tc>
        <w:tc>
          <w:tcPr>
            <w:tcW w:w="6442" w:type="dxa"/>
          </w:tcPr>
          <w:p w14:paraId="65AFC251" w14:textId="77777777" w:rsidR="002A06A0" w:rsidRPr="008D25CB" w:rsidRDefault="002A06A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2A06A0" w:rsidRPr="008D25CB" w14:paraId="0CBE9DB9" w14:textId="77777777">
        <w:trPr>
          <w:trHeight w:val="386"/>
        </w:trPr>
        <w:tc>
          <w:tcPr>
            <w:tcW w:w="5351" w:type="dxa"/>
          </w:tcPr>
          <w:p w14:paraId="0565CEA1" w14:textId="77777777" w:rsidR="002A06A0" w:rsidRPr="008D25CB" w:rsidRDefault="00E568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8D25CB">
              <w:rPr>
                <w:rFonts w:ascii="Arial" w:eastAsia="Times New Roman" w:hAnsi="Arial" w:cs="Arial"/>
              </w:rPr>
              <w:lastRenderedPageBreak/>
              <w:t>Is the language/English quality of the article suitable for scholarly communications?</w:t>
            </w:r>
          </w:p>
          <w:p w14:paraId="2DB4A71E" w14:textId="77777777" w:rsidR="002A06A0" w:rsidRPr="008D25CB" w:rsidRDefault="002A06A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067BFF52" w14:textId="77777777" w:rsidR="002A06A0" w:rsidRPr="008D25CB" w:rsidRDefault="00E56800">
            <w:pPr>
              <w:rPr>
                <w:rFonts w:ascii="Arial" w:hAnsi="Arial" w:cs="Arial"/>
                <w:sz w:val="20"/>
                <w:szCs w:val="20"/>
              </w:rPr>
            </w:pPr>
            <w:r w:rsidRPr="008D25CB">
              <w:rPr>
                <w:rFonts w:ascii="Arial" w:hAnsi="Arial" w:cs="Arial"/>
                <w:sz w:val="20"/>
                <w:szCs w:val="20"/>
              </w:rPr>
              <w:t>should be improved</w:t>
            </w:r>
          </w:p>
        </w:tc>
        <w:tc>
          <w:tcPr>
            <w:tcW w:w="6442" w:type="dxa"/>
          </w:tcPr>
          <w:p w14:paraId="5DFEA2F6" w14:textId="77777777" w:rsidR="002A06A0" w:rsidRPr="008D25CB" w:rsidRDefault="002A06A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A06A0" w:rsidRPr="008D25CB" w14:paraId="61BC46DE" w14:textId="77777777">
        <w:trPr>
          <w:trHeight w:val="1178"/>
        </w:trPr>
        <w:tc>
          <w:tcPr>
            <w:tcW w:w="5351" w:type="dxa"/>
          </w:tcPr>
          <w:p w14:paraId="07B57A55" w14:textId="77777777" w:rsidR="002A06A0" w:rsidRPr="008D25CB" w:rsidRDefault="00E5680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8D25CB">
              <w:rPr>
                <w:rFonts w:ascii="Arial" w:eastAsia="Times New Roman" w:hAnsi="Arial" w:cs="Arial"/>
                <w:u w:val="single"/>
              </w:rPr>
              <w:lastRenderedPageBreak/>
              <w:t>Optional/General</w:t>
            </w:r>
            <w:r w:rsidRPr="008D25CB">
              <w:rPr>
                <w:rFonts w:ascii="Arial" w:eastAsia="Times New Roman" w:hAnsi="Arial" w:cs="Arial"/>
              </w:rPr>
              <w:t xml:space="preserve"> </w:t>
            </w:r>
            <w:r w:rsidRPr="008D25CB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14:paraId="5822C43A" w14:textId="77777777" w:rsidR="002A06A0" w:rsidRPr="008D25CB" w:rsidRDefault="002A06A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14:paraId="48CECB7F" w14:textId="77777777" w:rsidR="002A06A0" w:rsidRPr="008D25CB" w:rsidRDefault="00E568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5C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Reviewer’s Report (Minor Revision)</w:t>
            </w:r>
          </w:p>
          <w:p w14:paraId="4061AC97" w14:textId="77777777" w:rsidR="002A06A0" w:rsidRPr="008D25CB" w:rsidRDefault="00E568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5CB">
              <w:rPr>
                <w:rFonts w:ascii="Arial" w:hAnsi="Arial" w:cs="Arial"/>
                <w:color w:val="000000"/>
                <w:sz w:val="20"/>
                <w:szCs w:val="20"/>
              </w:rPr>
              <w:t xml:space="preserve">This study has scientific merit and is expected to contribute to the existing literature. However, before the manuscript can be considered for publication, the following </w:t>
            </w:r>
            <w:r w:rsidRPr="008D25C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minor revisions</w:t>
            </w:r>
            <w:r w:rsidRPr="008D25CB">
              <w:rPr>
                <w:rFonts w:ascii="Arial" w:hAnsi="Arial" w:cs="Arial"/>
                <w:color w:val="000000"/>
                <w:sz w:val="20"/>
                <w:szCs w:val="20"/>
              </w:rPr>
              <w:t xml:space="preserve"> are required:</w:t>
            </w:r>
          </w:p>
          <w:p w14:paraId="7E26F471" w14:textId="77777777" w:rsidR="002A06A0" w:rsidRPr="008D25CB" w:rsidRDefault="00E568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5C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Literature Review:</w:t>
            </w:r>
            <w:r w:rsidRPr="008D25CB">
              <w:rPr>
                <w:rFonts w:ascii="Arial" w:hAnsi="Arial" w:cs="Arial"/>
                <w:color w:val="000000"/>
                <w:sz w:val="20"/>
                <w:szCs w:val="20"/>
              </w:rPr>
              <w:br/>
              <w:t>The authors have not provided a sufficiently comprehensive review of the literature on fractional calculus in the introduction section. Therefore, it is strongly recommended that the following valuable studies be explicitly included in the introduction:</w:t>
            </w:r>
          </w:p>
          <w:p w14:paraId="377CA037" w14:textId="77777777" w:rsidR="002A06A0" w:rsidRPr="008D25CB" w:rsidRDefault="00E568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720"/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</w:pPr>
            <w:r w:rsidRPr="008D25CB">
              <w:rPr>
                <w:rFonts w:ascii="Arial" w:hAnsi="Arial" w:cs="Arial"/>
                <w:color w:val="000000"/>
                <w:sz w:val="20"/>
                <w:szCs w:val="20"/>
              </w:rPr>
              <w:br/>
            </w:r>
            <w:r w:rsidRPr="008D25C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(a)</w:t>
            </w:r>
            <w:r w:rsidRPr="008D25CB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 xml:space="preserve">Ata, E., &amp; </w:t>
            </w:r>
            <w:proofErr w:type="spellStart"/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Kıymaz</w:t>
            </w:r>
            <w:proofErr w:type="spellEnd"/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, I.O. (2023). New generalized Mellin transform and applications to partial and fractional differential equations. </w:t>
            </w:r>
            <w:r w:rsidRPr="008D25CB">
              <w:rPr>
                <w:rFonts w:ascii="Arial" w:hAnsi="Arial" w:cs="Arial"/>
                <w:i/>
                <w:iCs/>
                <w:color w:val="222222"/>
                <w:sz w:val="20"/>
                <w:szCs w:val="20"/>
                <w:highlight w:val="white"/>
              </w:rPr>
              <w:t>International Journal of Mathematics and Computer in Engineering</w:t>
            </w:r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, </w:t>
            </w:r>
            <w:r w:rsidRPr="008D25CB">
              <w:rPr>
                <w:rFonts w:ascii="Arial" w:hAnsi="Arial" w:cs="Arial"/>
                <w:i/>
                <w:iCs/>
                <w:color w:val="222222"/>
                <w:sz w:val="20"/>
                <w:szCs w:val="20"/>
                <w:highlight w:val="white"/>
              </w:rPr>
              <w:t>1</w:t>
            </w:r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(1), 45-66.</w:t>
            </w:r>
          </w:p>
          <w:p w14:paraId="431B3FE9" w14:textId="77777777" w:rsidR="002A06A0" w:rsidRPr="008D25CB" w:rsidRDefault="00E568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720"/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</w:pPr>
            <w:r w:rsidRPr="008D25CB">
              <w:rPr>
                <w:rFonts w:ascii="Arial" w:hAnsi="Arial" w:cs="Arial"/>
                <w:color w:val="000000"/>
                <w:sz w:val="20"/>
                <w:szCs w:val="20"/>
              </w:rPr>
              <w:br/>
            </w:r>
            <w:r w:rsidRPr="008D25C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(b)</w:t>
            </w:r>
            <w:r w:rsidRPr="008D25CB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 xml:space="preserve">Ata, E., &amp; </w:t>
            </w:r>
            <w:proofErr w:type="spellStart"/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Kıymaz</w:t>
            </w:r>
            <w:proofErr w:type="spellEnd"/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, I.O. (2022). Generalized gamma, beta and hypergeometric functions defined by Wright function and applications to fractional differential equations. </w:t>
            </w:r>
            <w:r w:rsidRPr="008D25CB">
              <w:rPr>
                <w:rFonts w:ascii="Arial" w:hAnsi="Arial" w:cs="Arial"/>
                <w:i/>
                <w:iCs/>
                <w:color w:val="222222"/>
                <w:sz w:val="20"/>
                <w:szCs w:val="20"/>
                <w:highlight w:val="white"/>
              </w:rPr>
              <w:t>Cumhuriyet Science Journal</w:t>
            </w:r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, </w:t>
            </w:r>
            <w:r w:rsidRPr="008D25CB">
              <w:rPr>
                <w:rFonts w:ascii="Arial" w:hAnsi="Arial" w:cs="Arial"/>
                <w:i/>
                <w:iCs/>
                <w:color w:val="222222"/>
                <w:sz w:val="20"/>
                <w:szCs w:val="20"/>
                <w:highlight w:val="white"/>
              </w:rPr>
              <w:t>43</w:t>
            </w:r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(4), 684-695.</w:t>
            </w:r>
          </w:p>
          <w:p w14:paraId="076FB6FF" w14:textId="77777777" w:rsidR="002A06A0" w:rsidRPr="008D25CB" w:rsidRDefault="00E568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720"/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</w:pPr>
            <w:r w:rsidRPr="008D25CB">
              <w:rPr>
                <w:rFonts w:ascii="Arial" w:hAnsi="Arial" w:cs="Arial"/>
                <w:color w:val="000000"/>
                <w:sz w:val="20"/>
                <w:szCs w:val="20"/>
              </w:rPr>
              <w:br/>
            </w:r>
            <w:r w:rsidRPr="008D25C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(c)</w:t>
            </w:r>
            <w:r w:rsidRPr="008D25CB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 xml:space="preserve">Ata, E., &amp; </w:t>
            </w:r>
            <w:proofErr w:type="spellStart"/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Kıymaz</w:t>
            </w:r>
            <w:proofErr w:type="spellEnd"/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, I.O. (2024). New generalized special functions with two generalized M-series at their kernels and solution of fractional PDEs via double Laplace transform. </w:t>
            </w:r>
            <w:r w:rsidRPr="008D25CB">
              <w:rPr>
                <w:rFonts w:ascii="Arial" w:hAnsi="Arial" w:cs="Arial"/>
                <w:i/>
                <w:iCs/>
                <w:color w:val="222222"/>
                <w:sz w:val="20"/>
                <w:szCs w:val="20"/>
                <w:highlight w:val="white"/>
              </w:rPr>
              <w:t>Computational Methods for Differential Equations</w:t>
            </w:r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, </w:t>
            </w:r>
            <w:r w:rsidRPr="008D25CB">
              <w:rPr>
                <w:rFonts w:ascii="Arial" w:hAnsi="Arial" w:cs="Arial"/>
                <w:i/>
                <w:iCs/>
                <w:color w:val="222222"/>
                <w:sz w:val="20"/>
                <w:szCs w:val="20"/>
                <w:highlight w:val="white"/>
              </w:rPr>
              <w:t>12</w:t>
            </w:r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(1).</w:t>
            </w:r>
          </w:p>
          <w:p w14:paraId="63CC16F2" w14:textId="77777777" w:rsidR="002A06A0" w:rsidRPr="008D25CB" w:rsidRDefault="00E568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720"/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</w:pPr>
            <w:r w:rsidRPr="008D25C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(d) </w:t>
            </w:r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 xml:space="preserve">Ata, E., &amp; </w:t>
            </w:r>
            <w:proofErr w:type="spellStart"/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Kıymaz</w:t>
            </w:r>
            <w:proofErr w:type="spellEnd"/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, I.O.  (2023). A new generalized Laplace transform and its applications to fractional Bagley-Torvik and fractional harmonic vibration problems. </w:t>
            </w:r>
            <w:r w:rsidRPr="008D25CB">
              <w:rPr>
                <w:rFonts w:ascii="Arial" w:hAnsi="Arial" w:cs="Arial"/>
                <w:i/>
                <w:iCs/>
                <w:color w:val="222222"/>
                <w:sz w:val="20"/>
                <w:szCs w:val="20"/>
                <w:highlight w:val="white"/>
              </w:rPr>
              <w:t>Miskolc Mathematical Notes</w:t>
            </w:r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, </w:t>
            </w:r>
            <w:r w:rsidRPr="008D25CB">
              <w:rPr>
                <w:rFonts w:ascii="Arial" w:hAnsi="Arial" w:cs="Arial"/>
                <w:i/>
                <w:iCs/>
                <w:color w:val="222222"/>
                <w:sz w:val="20"/>
                <w:szCs w:val="20"/>
                <w:highlight w:val="white"/>
              </w:rPr>
              <w:t>24</w:t>
            </w:r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(2), 597-610.</w:t>
            </w:r>
          </w:p>
          <w:p w14:paraId="2799389A" w14:textId="77777777" w:rsidR="002A06A0" w:rsidRPr="008D25CB" w:rsidRDefault="00E568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720"/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</w:pPr>
            <w:r w:rsidRPr="008D25C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(e) </w:t>
            </w:r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 xml:space="preserve">Ata, E., &amp; </w:t>
            </w:r>
            <w:proofErr w:type="spellStart"/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Kıymaz</w:t>
            </w:r>
            <w:proofErr w:type="spellEnd"/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, I.O. (2024). Generalized Fourier transform: Illustrative examples and applications to differential equations. </w:t>
            </w:r>
            <w:r w:rsidRPr="008D25CB">
              <w:rPr>
                <w:rFonts w:ascii="Arial" w:hAnsi="Arial" w:cs="Arial"/>
                <w:i/>
                <w:iCs/>
                <w:color w:val="222222"/>
                <w:sz w:val="20"/>
                <w:szCs w:val="20"/>
                <w:highlight w:val="white"/>
              </w:rPr>
              <w:t>Journal of Mathematical Analysis</w:t>
            </w:r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, </w:t>
            </w:r>
            <w:r w:rsidRPr="008D25CB">
              <w:rPr>
                <w:rFonts w:ascii="Arial" w:hAnsi="Arial" w:cs="Arial"/>
                <w:i/>
                <w:iCs/>
                <w:color w:val="222222"/>
                <w:sz w:val="20"/>
                <w:szCs w:val="20"/>
                <w:highlight w:val="white"/>
              </w:rPr>
              <w:t>15</w:t>
            </w:r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(2), 14-33.</w:t>
            </w:r>
          </w:p>
          <w:p w14:paraId="3C1D3AFF" w14:textId="77777777" w:rsidR="002A06A0" w:rsidRPr="008D25CB" w:rsidRDefault="00E568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720"/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</w:pPr>
            <w:r w:rsidRPr="008D25C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(f) </w:t>
            </w:r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 xml:space="preserve">Ata, E., </w:t>
            </w:r>
            <w:proofErr w:type="spellStart"/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Kıymaz</w:t>
            </w:r>
            <w:proofErr w:type="spellEnd"/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, I.O., Agarwal, P., &amp; Jain, S. (2024). A study on the properties of new generalized special functions, their integral transformations, and applications to fractional differential equations. In </w:t>
            </w:r>
            <w:r w:rsidRPr="008D25CB">
              <w:rPr>
                <w:rFonts w:ascii="Arial" w:hAnsi="Arial" w:cs="Arial"/>
                <w:i/>
                <w:iCs/>
                <w:color w:val="222222"/>
                <w:sz w:val="20"/>
                <w:szCs w:val="20"/>
                <w:highlight w:val="white"/>
              </w:rPr>
              <w:t>Fractional Differential Equations</w:t>
            </w:r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 (pp. 95-114). Academic Press.</w:t>
            </w:r>
          </w:p>
          <w:p w14:paraId="486D1450" w14:textId="77777777" w:rsidR="002A06A0" w:rsidRPr="008D25CB" w:rsidRDefault="00E568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720"/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</w:pPr>
            <w:r w:rsidRPr="008D25C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(g) </w:t>
            </w:r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 xml:space="preserve">Ata, E., &amp; </w:t>
            </w:r>
            <w:proofErr w:type="spellStart"/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Kıymaz</w:t>
            </w:r>
            <w:proofErr w:type="spellEnd"/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 xml:space="preserve">, I.O. &amp; </w:t>
            </w:r>
            <w:proofErr w:type="spellStart"/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Baskonus</w:t>
            </w:r>
            <w:proofErr w:type="spellEnd"/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 xml:space="preserve">, H. M. (2025). Advanced fractional calculus approach to </w:t>
            </w:r>
            <w:proofErr w:type="spellStart"/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rc</w:t>
            </w:r>
            <w:proofErr w:type="spellEnd"/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 xml:space="preserve"> electrical circuit modeling: analytical solutions and comparative behavioral analysis. </w:t>
            </w:r>
            <w:r w:rsidRPr="008D25CB">
              <w:rPr>
                <w:rFonts w:ascii="Arial" w:hAnsi="Arial" w:cs="Arial"/>
                <w:i/>
                <w:iCs/>
                <w:color w:val="222222"/>
                <w:sz w:val="20"/>
                <w:szCs w:val="20"/>
                <w:highlight w:val="white"/>
              </w:rPr>
              <w:t>Analog Integrated Circuits and Signal Processing</w:t>
            </w:r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, </w:t>
            </w:r>
            <w:r w:rsidRPr="008D25CB">
              <w:rPr>
                <w:rFonts w:ascii="Arial" w:hAnsi="Arial" w:cs="Arial"/>
                <w:i/>
                <w:iCs/>
                <w:color w:val="222222"/>
                <w:sz w:val="20"/>
                <w:szCs w:val="20"/>
                <w:highlight w:val="white"/>
              </w:rPr>
              <w:t>125</w:t>
            </w:r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(2), 32.</w:t>
            </w:r>
          </w:p>
          <w:p w14:paraId="1BB12C70" w14:textId="77777777" w:rsidR="002A06A0" w:rsidRPr="008D25CB" w:rsidRDefault="00E568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720"/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</w:pPr>
            <w:r w:rsidRPr="008D25C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(h) </w:t>
            </w:r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Ata, E. (2024). M-Srıvastava hypergeometrıc functıons: ıntegral representatıons and solutıon of fractıonal dıfferentıal equatıons. </w:t>
            </w:r>
            <w:r w:rsidRPr="008D25CB">
              <w:rPr>
                <w:rFonts w:ascii="Arial" w:hAnsi="Arial" w:cs="Arial"/>
                <w:i/>
                <w:iCs/>
                <w:color w:val="222222"/>
                <w:sz w:val="20"/>
                <w:szCs w:val="20"/>
                <w:highlight w:val="white"/>
              </w:rPr>
              <w:t>Miskolc Mathematical Notes</w:t>
            </w:r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, </w:t>
            </w:r>
            <w:r w:rsidRPr="008D25CB">
              <w:rPr>
                <w:rFonts w:ascii="Arial" w:hAnsi="Arial" w:cs="Arial"/>
                <w:i/>
                <w:iCs/>
                <w:color w:val="222222"/>
                <w:sz w:val="20"/>
                <w:szCs w:val="20"/>
                <w:highlight w:val="white"/>
              </w:rPr>
              <w:t>25</w:t>
            </w:r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(1), 93-108.</w:t>
            </w:r>
          </w:p>
          <w:p w14:paraId="77028353" w14:textId="77777777" w:rsidR="002A06A0" w:rsidRPr="008D25CB" w:rsidRDefault="00E568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72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5C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(ı) </w:t>
            </w:r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 xml:space="preserve">Ata, E., &amp; </w:t>
            </w:r>
            <w:proofErr w:type="spellStart"/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Kıymaz</w:t>
            </w:r>
            <w:proofErr w:type="spellEnd"/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 xml:space="preserve">, I.O. (2025). New </w:t>
            </w:r>
            <w:proofErr w:type="spellStart"/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generalızed</w:t>
            </w:r>
            <w:proofErr w:type="spellEnd"/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 xml:space="preserve"> </w:t>
            </w:r>
            <w:proofErr w:type="spellStart"/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fourıer</w:t>
            </w:r>
            <w:proofErr w:type="spellEnd"/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 xml:space="preserve"> transforms and </w:t>
            </w:r>
            <w:proofErr w:type="spellStart"/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>theır</w:t>
            </w:r>
            <w:proofErr w:type="spellEnd"/>
            <w:r w:rsidRPr="008D25CB">
              <w:rPr>
                <w:rFonts w:ascii="Arial" w:hAnsi="Arial" w:cs="Arial"/>
                <w:color w:val="222222"/>
                <w:sz w:val="20"/>
                <w:szCs w:val="20"/>
                <w:highlight w:val="white"/>
              </w:rPr>
              <w:t xml:space="preserve"> applıcatıons to ordınary, partıal and fractıonal dıfferentıal equatıons.</w:t>
            </w:r>
          </w:p>
          <w:p w14:paraId="367501A9" w14:textId="77777777" w:rsidR="002A06A0" w:rsidRPr="008D25CB" w:rsidRDefault="00E568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5C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Language and Mathematical Accuracy:</w:t>
            </w:r>
            <w:r w:rsidRPr="008D25CB">
              <w:rPr>
                <w:rFonts w:ascii="Arial" w:hAnsi="Arial" w:cs="Arial"/>
                <w:color w:val="000000"/>
                <w:sz w:val="20"/>
                <w:szCs w:val="20"/>
              </w:rPr>
              <w:br/>
              <w:t>The manuscript should be carefully revised in terms of grammar and mathematical correctness. In particular, the authors are strongly advised to thoroughly verify the numerical data presented in the tables.</w:t>
            </w:r>
          </w:p>
          <w:p w14:paraId="41CD89A2" w14:textId="77777777" w:rsidR="002A06A0" w:rsidRPr="008D25CB" w:rsidRDefault="00E568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5C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Conclusion and Future Work:</w:t>
            </w:r>
            <w:r w:rsidRPr="008D25CB">
              <w:rPr>
                <w:rFonts w:ascii="Arial" w:hAnsi="Arial" w:cs="Arial"/>
                <w:color w:val="000000"/>
                <w:sz w:val="20"/>
                <w:szCs w:val="20"/>
              </w:rPr>
              <w:br/>
              <w:t>The authors are encouraged to include a discussion of possible future research directions in the conclusion section. This addition would enhance the clarity and usefulness of the study and provide guidance for future researchers.</w:t>
            </w:r>
          </w:p>
          <w:p w14:paraId="0525F282" w14:textId="77777777" w:rsidR="002A06A0" w:rsidRPr="008D25CB" w:rsidRDefault="00E568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5C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lastRenderedPageBreak/>
              <w:t>Note:</w:t>
            </w:r>
            <w:r w:rsidRPr="008D25CB">
              <w:rPr>
                <w:rFonts w:ascii="Arial" w:hAnsi="Arial" w:cs="Arial"/>
                <w:color w:val="000000"/>
                <w:sz w:val="20"/>
                <w:szCs w:val="20"/>
              </w:rPr>
              <w:br/>
              <w:t xml:space="preserve">The authors are expected to address all the above comments </w:t>
            </w:r>
            <w:r w:rsidRPr="008D25C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completely and carefully</w:t>
            </w:r>
            <w:r w:rsidRPr="008D25CB">
              <w:rPr>
                <w:rFonts w:ascii="Arial" w:hAnsi="Arial" w:cs="Arial"/>
                <w:color w:val="000000"/>
                <w:sz w:val="20"/>
                <w:szCs w:val="20"/>
              </w:rPr>
              <w:t>. The reviewer appreciates the authors’ efforts and contributions to this work.</w:t>
            </w:r>
          </w:p>
          <w:p w14:paraId="1BD512DC" w14:textId="77777777" w:rsidR="002A06A0" w:rsidRPr="008D25CB" w:rsidRDefault="002A06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58414D26" w14:textId="77777777" w:rsidR="002A06A0" w:rsidRPr="008D25CB" w:rsidRDefault="00BE6A03" w:rsidP="00BE6A03">
            <w:pPr>
              <w:pStyle w:val="ListParagraph"/>
              <w:numPr>
                <w:ilvl w:val="1"/>
                <w:numId w:val="1"/>
              </w:numPr>
              <w:rPr>
                <w:rFonts w:ascii="Arial" w:hAnsi="Arial" w:cs="Arial"/>
                <w:sz w:val="20"/>
                <w:szCs w:val="20"/>
              </w:rPr>
            </w:pPr>
            <w:r w:rsidRPr="008D25CB">
              <w:rPr>
                <w:rFonts w:ascii="Arial" w:hAnsi="Arial" w:cs="Arial"/>
                <w:sz w:val="20"/>
                <w:szCs w:val="20"/>
              </w:rPr>
              <w:lastRenderedPageBreak/>
              <w:t xml:space="preserve">We have comprehensively expanded Section 1 (Introduction) with all 9 suggested Ata &amp; </w:t>
            </w:r>
            <w:proofErr w:type="spellStart"/>
            <w:r w:rsidRPr="008D25CB">
              <w:rPr>
                <w:rFonts w:ascii="Arial" w:hAnsi="Arial" w:cs="Arial"/>
                <w:sz w:val="20"/>
                <w:szCs w:val="20"/>
              </w:rPr>
              <w:t>Kıymaz</w:t>
            </w:r>
            <w:proofErr w:type="spellEnd"/>
            <w:r w:rsidRPr="008D25CB">
              <w:rPr>
                <w:rFonts w:ascii="Arial" w:hAnsi="Arial" w:cs="Arial"/>
                <w:sz w:val="20"/>
                <w:szCs w:val="20"/>
              </w:rPr>
              <w:t xml:space="preserve"> references (2022–2025). A new paragraph now discusses generalized integral transforms with M-series kernels for fractional PDEs, explicitly citing each recommended work to enrich the theoretical foundation of fractional calculus applications.</w:t>
            </w:r>
          </w:p>
          <w:p w14:paraId="5C3992BB" w14:textId="77777777" w:rsidR="00BE6A03" w:rsidRPr="008D25CB" w:rsidRDefault="00BE6A03" w:rsidP="00BE6A03">
            <w:pPr>
              <w:pStyle w:val="ListParagraph"/>
              <w:numPr>
                <w:ilvl w:val="1"/>
                <w:numId w:val="1"/>
              </w:numPr>
              <w:rPr>
                <w:rFonts w:ascii="Arial" w:hAnsi="Arial" w:cs="Arial"/>
                <w:sz w:val="20"/>
                <w:szCs w:val="20"/>
              </w:rPr>
            </w:pPr>
            <w:r w:rsidRPr="008D25CB">
              <w:rPr>
                <w:rFonts w:ascii="Arial" w:hAnsi="Arial" w:cs="Arial"/>
                <w:sz w:val="20"/>
                <w:szCs w:val="20"/>
              </w:rPr>
              <w:t>We have professionally revised the entire manuscript for language clarity and grammatical precision. Critically, we verified all SCM/VIM error values against the original Ojada &amp; Akhigbe (2025) source paper (</w:t>
            </w:r>
            <w:r w:rsidRPr="008D25CB">
              <w:rPr>
                <w:rFonts w:ascii="Arial" w:hAnsi="Arial" w:cs="Arial"/>
                <w:i/>
                <w:iCs/>
                <w:sz w:val="20"/>
                <w:szCs w:val="20"/>
              </w:rPr>
              <w:t>IJRMC</w:t>
            </w:r>
            <w:r w:rsidRPr="008D25CB">
              <w:rPr>
                <w:rFonts w:ascii="Arial" w:hAnsi="Arial" w:cs="Arial"/>
                <w:sz w:val="20"/>
                <w:szCs w:val="20"/>
              </w:rPr>
              <w:t xml:space="preserve"> 11(1), pp. 35–52) and confirmed they were correctly transcribed. We have revised Section 1 to accurately explain the large SCM errors (N=3) basis limitation + endpoint singularity in exact solution </w:t>
            </w:r>
            <m:oMath>
              <m:r>
                <w:rPr>
                  <w:rFonts w:ascii="Cambria Math" w:eastAsia="Cambria Math" w:hAnsi="Cambria Math" w:cs="Arial"/>
                </w:rPr>
                <m:t>u(x,t)=(1-x</m:t>
              </m:r>
              <m:sSup>
                <m:sSupPr>
                  <m:ctrlPr>
                    <w:rPr>
                      <w:rFonts w:ascii="Cambria Math" w:eastAsia="Cambria Math" w:hAnsi="Cambria Math" w:cs="Arial"/>
                    </w:rPr>
                  </m:ctrlPr>
                </m:sSupPr>
                <m:e>
                  <m:r>
                    <w:rPr>
                      <w:rFonts w:ascii="Cambria Math" w:eastAsia="Cambria Math" w:hAnsi="Cambria Math" w:cs="Arial"/>
                    </w:rPr>
                    <m:t>)</m:t>
                  </m:r>
                </m:e>
                <m:sup>
                  <m:r>
                    <w:rPr>
                      <w:rFonts w:ascii="Cambria Math" w:eastAsia="Cambria Math" w:hAnsi="Cambria Math" w:cs="Arial"/>
                    </w:rPr>
                    <m:t>5/2</m:t>
                  </m:r>
                </m:sup>
              </m:sSup>
              <m:sSup>
                <m:sSupPr>
                  <m:ctrlPr>
                    <w:rPr>
                      <w:rFonts w:ascii="Cambria Math" w:eastAsia="Cambria Math" w:hAnsi="Cambria Math" w:cs="Arial"/>
                    </w:rPr>
                  </m:ctrlPr>
                </m:sSupPr>
                <m:e>
                  <m:r>
                    <w:rPr>
                      <w:rFonts w:ascii="Cambria Math" w:eastAsia="Cambria Math" w:hAnsi="Cambria Math" w:cs="Arial"/>
                    </w:rPr>
                    <m:t>t</m:t>
                  </m:r>
                </m:e>
                <m:sup>
                  <m:r>
                    <w:rPr>
                      <w:rFonts w:ascii="Cambria Math" w:eastAsia="Cambria Math" w:hAnsi="Cambria Math" w:cs="Arial"/>
                    </w:rPr>
                    <m:t>3/2</m:t>
                  </m:r>
                </m:sup>
              </m:sSup>
            </m:oMath>
            <w:r w:rsidRPr="008D25CB">
              <w:rPr>
                <w:rFonts w:ascii="Arial" w:hAnsi="Arial" w:cs="Arial"/>
                <w:sz w:val="20"/>
                <w:szCs w:val="20"/>
              </w:rPr>
              <w:t xml:space="preserve"> rather than implying implementation errors. All numerical data in Tables 1–6 have been cross-checked against our MAPLE 18 computations.</w:t>
            </w:r>
          </w:p>
          <w:p w14:paraId="27BEE74D" w14:textId="77777777" w:rsidR="00BE6A03" w:rsidRPr="008D25CB" w:rsidRDefault="00BE6A03" w:rsidP="00BE6A03">
            <w:pPr>
              <w:pStyle w:val="ListParagraph"/>
              <w:numPr>
                <w:ilvl w:val="1"/>
                <w:numId w:val="1"/>
              </w:numPr>
              <w:rPr>
                <w:rFonts w:ascii="Arial" w:hAnsi="Arial" w:cs="Arial"/>
                <w:sz w:val="20"/>
                <w:szCs w:val="20"/>
              </w:rPr>
            </w:pPr>
            <w:r w:rsidRPr="008D25CB">
              <w:rPr>
                <w:rFonts w:ascii="Arial" w:hAnsi="Arial" w:cs="Arial"/>
                <w:sz w:val="20"/>
                <w:szCs w:val="20"/>
              </w:rPr>
              <w:t>We have expanded Section 7 (Conclusion) with a dedicated paragraph discussing five concrete future research directions: (</w:t>
            </w:r>
            <w:proofErr w:type="spellStart"/>
            <w:r w:rsidRPr="008D25CB">
              <w:rPr>
                <w:rFonts w:ascii="Arial" w:hAnsi="Arial" w:cs="Arial"/>
                <w:sz w:val="20"/>
                <w:szCs w:val="20"/>
              </w:rPr>
              <w:t>i</w:t>
            </w:r>
            <w:proofErr w:type="spellEnd"/>
            <w:r w:rsidRPr="008D25CB">
              <w:rPr>
                <w:rFonts w:ascii="Arial" w:hAnsi="Arial" w:cs="Arial"/>
                <w:sz w:val="20"/>
                <w:szCs w:val="20"/>
              </w:rPr>
              <w:t>) adaptive time-stepping with variable-step L1 approximations, (ii) extension to space-time fractional FKGE with Riesz fractional Laplacians, (iii) multi-dimensional applications in quantum field theory, (iv) hybrid finite difference–machine learning approaches for parameter identification, and (v) convergence analysis for nonsmooth initial data.</w:t>
            </w:r>
          </w:p>
        </w:tc>
      </w:tr>
    </w:tbl>
    <w:p w14:paraId="225B3EC6" w14:textId="77777777" w:rsidR="002A06A0" w:rsidRPr="008D25CB" w:rsidRDefault="002A06A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2183E389" w14:textId="77777777" w:rsidR="002A06A0" w:rsidRPr="008D25CB" w:rsidRDefault="002A06A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2A06A0" w:rsidRPr="008D25CB" w14:paraId="2B3E2190" w14:textId="77777777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BCBBAF" w14:textId="77777777" w:rsidR="002A06A0" w:rsidRPr="008D25CB" w:rsidRDefault="00E568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8D25CB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8D25CB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14:paraId="72791C43" w14:textId="77777777" w:rsidR="002A06A0" w:rsidRPr="008D25CB" w:rsidRDefault="002A06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2A06A0" w:rsidRPr="008D25CB" w14:paraId="4A443141" w14:textId="77777777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9A6875" w14:textId="77777777" w:rsidR="002A06A0" w:rsidRPr="008D25CB" w:rsidRDefault="002A06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A60D80" w14:textId="77777777" w:rsidR="002A06A0" w:rsidRPr="008D25CB" w:rsidRDefault="00E568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8D25CB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14:paraId="1460956F" w14:textId="77777777" w:rsidR="002A06A0" w:rsidRPr="008D25CB" w:rsidRDefault="00E5680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8D25CB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8D25CB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58518410" w14:textId="77777777" w:rsidR="002A06A0" w:rsidRPr="008D25CB" w:rsidRDefault="002A06A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2A06A0" w:rsidRPr="008D25CB" w14:paraId="0BEC6C71" w14:textId="77777777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22637B" w14:textId="77777777" w:rsidR="002A06A0" w:rsidRPr="008D25CB" w:rsidRDefault="00E568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5C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14:paraId="034F297F" w14:textId="77777777" w:rsidR="002A06A0" w:rsidRPr="008D25CB" w:rsidRDefault="002A06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F7AF60" w14:textId="77777777" w:rsidR="002A06A0" w:rsidRPr="008D25CB" w:rsidRDefault="00E568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5CB">
              <w:rPr>
                <w:rFonts w:ascii="Arial" w:hAnsi="Arial" w:cs="Arial"/>
                <w:color w:val="000000"/>
                <w:sz w:val="20"/>
                <w:szCs w:val="20"/>
              </w:rPr>
              <w:t>There are no ethical issues in this manuscript.</w:t>
            </w:r>
          </w:p>
          <w:p w14:paraId="4F0FBF3B" w14:textId="77777777" w:rsidR="002A06A0" w:rsidRPr="008D25CB" w:rsidRDefault="002A06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14:paraId="2A28249C" w14:textId="77777777" w:rsidR="002A06A0" w:rsidRPr="008D25CB" w:rsidRDefault="002A06A0">
            <w:pPr>
              <w:rPr>
                <w:rFonts w:ascii="Arial" w:hAnsi="Arial" w:cs="Arial"/>
                <w:sz w:val="20"/>
                <w:szCs w:val="20"/>
              </w:rPr>
            </w:pPr>
          </w:p>
          <w:p w14:paraId="611136E8" w14:textId="77777777" w:rsidR="002A06A0" w:rsidRPr="008D25CB" w:rsidRDefault="002A06A0">
            <w:pPr>
              <w:rPr>
                <w:rFonts w:ascii="Arial" w:hAnsi="Arial" w:cs="Arial"/>
                <w:sz w:val="20"/>
                <w:szCs w:val="20"/>
              </w:rPr>
            </w:pPr>
          </w:p>
          <w:p w14:paraId="6C7451FF" w14:textId="77777777" w:rsidR="002A06A0" w:rsidRPr="008D25CB" w:rsidRDefault="002A06A0">
            <w:pPr>
              <w:rPr>
                <w:rFonts w:ascii="Arial" w:hAnsi="Arial" w:cs="Arial"/>
                <w:sz w:val="20"/>
                <w:szCs w:val="20"/>
              </w:rPr>
            </w:pPr>
          </w:p>
          <w:p w14:paraId="457A9D2C" w14:textId="77777777" w:rsidR="002A06A0" w:rsidRPr="008D25CB" w:rsidRDefault="002A06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0808DB29" w14:textId="77777777" w:rsidR="002A06A0" w:rsidRPr="008D25CB" w:rsidRDefault="002A06A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2A06A0" w:rsidRPr="008D25CB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21BD3C" w14:textId="77777777" w:rsidR="00EF1E13" w:rsidRDefault="00EF1E13">
      <w:r>
        <w:separator/>
      </w:r>
    </w:p>
  </w:endnote>
  <w:endnote w:type="continuationSeparator" w:id="0">
    <w:p w14:paraId="737F7FD9" w14:textId="77777777" w:rsidR="00EF1E13" w:rsidRDefault="00EF1E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B24DBE50-07B3-4A12-8911-C52F2F6CC2D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37A369A9-BD2B-4B0E-A7A8-34D3039F0D85}"/>
    <w:embedItalic r:id="rId3" w:fontKey="{3B465B8B-6EBC-4DA3-AA02-5A9FC0A9BFD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DE7264E6-7F5D-4045-B9CC-D1702535023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718F774E-6521-43CC-BD87-06A7C957700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D3E713" w14:textId="77777777" w:rsidR="002A06A0" w:rsidRDefault="00E56800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BA5A21" w14:textId="77777777" w:rsidR="00EF1E13" w:rsidRDefault="00EF1E13">
      <w:r>
        <w:separator/>
      </w:r>
    </w:p>
  </w:footnote>
  <w:footnote w:type="continuationSeparator" w:id="0">
    <w:p w14:paraId="5DADE089" w14:textId="77777777" w:rsidR="00EF1E13" w:rsidRDefault="00EF1E1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B9B008" w14:textId="77777777" w:rsidR="002A06A0" w:rsidRDefault="002A06A0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2DA2FD45" w14:textId="77777777" w:rsidR="002A06A0" w:rsidRDefault="00E56800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88213B1"/>
    <w:multiLevelType w:val="multilevel"/>
    <w:tmpl w:val="3E86F70C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decimal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vertAlign w:val="baseline"/>
      </w:rPr>
    </w:lvl>
  </w:abstractNum>
  <w:num w:numId="1" w16cid:durableId="97491445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A06A0"/>
    <w:rsid w:val="002A06A0"/>
    <w:rsid w:val="00855745"/>
    <w:rsid w:val="008D25CB"/>
    <w:rsid w:val="00BE6A03"/>
    <w:rsid w:val="00E56800"/>
    <w:rsid w:val="00EF1E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EEAE7B8"/>
  <w15:docId w15:val="{142E98D9-2EA3-4130-954A-B3DD3092C8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ListParagraph">
    <w:name w:val="List Paragraph"/>
    <w:basedOn w:val="Normal"/>
    <w:uiPriority w:val="34"/>
    <w:qFormat/>
    <w:rsid w:val="00BE6A0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jamcs.com/index.php/JAMCS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944</Words>
  <Characters>5383</Characters>
  <Application>Microsoft Office Word</Application>
  <DocSecurity>0</DocSecurity>
  <Lines>44</Lines>
  <Paragraphs>12</Paragraphs>
  <ScaleCrop>false</ScaleCrop>
  <Company/>
  <LinksUpToDate>false</LinksUpToDate>
  <CharactersWithSpaces>6315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Editor-90</cp:lastModifiedBy>
  <cp:revision>3</cp:revision>
  <dcterms:created xsi:type="dcterms:W3CDTF">2026-01-29T21:52:00Z</dcterms:created>
  <dcterms:modified xsi:type="dcterms:W3CDTF">2026-01-30T07:29:00Z</dcterms:modified>
</cp:coreProperties>
</file>